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7EACCC6C" w14:textId="7255507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  <w:r w:rsidRPr="006200FC">
        <w:rPr>
          <w:rFonts w:ascii="Arial" w:hAnsi="Arial" w:cs="Arial"/>
          <w:sz w:val="24"/>
          <w:szCs w:val="24"/>
        </w:rPr>
        <w:lastRenderedPageBreak/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821BB9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173494EA" w14:textId="77777777" w:rsidR="001D2812" w:rsidRDefault="001D281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7EE60DB" w14:textId="77777777" w:rsidR="001D2812" w:rsidRDefault="001D281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14DD2ABE" w14:textId="77777777" w:rsidR="001D2812" w:rsidRDefault="001D281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1F0C7A02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odpowiedzialności podmiotów zbiorowych za czyny zabronione pod groźbą kary (Dz. U. z 2020 r. poz. 358, z </w:t>
      </w:r>
      <w:proofErr w:type="spellStart"/>
      <w:r w:rsidR="0068748C"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68748C" w:rsidRPr="003A06B4">
        <w:rPr>
          <w:rFonts w:ascii="Arial" w:hAnsi="Arial" w:cs="Arial"/>
          <w:color w:val="000000"/>
          <w:sz w:val="24"/>
          <w:szCs w:val="24"/>
        </w:rPr>
        <w:t>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="0068748C"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68748C" w:rsidRPr="003A06B4">
        <w:rPr>
          <w:rFonts w:ascii="Arial" w:hAnsi="Arial" w:cs="Arial"/>
          <w:color w:val="000000"/>
          <w:sz w:val="24"/>
          <w:szCs w:val="24"/>
        </w:rPr>
        <w:t>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 xml:space="preserve">Białorusi w agresji Rosji wobec Ukrainy (Dz. Urz. UE L 134 z 20.05.2006, str. 1 z </w:t>
      </w:r>
      <w:proofErr w:type="spellStart"/>
      <w:r w:rsidRPr="001D2812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1D2812">
        <w:rPr>
          <w:rFonts w:ascii="Arial" w:hAnsi="Arial" w:cs="Arial"/>
          <w:color w:val="000000"/>
          <w:sz w:val="24"/>
          <w:szCs w:val="24"/>
        </w:rPr>
        <w:t>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proofErr w:type="spellStart"/>
      <w:r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3A06B4">
        <w:rPr>
          <w:rFonts w:ascii="Arial" w:hAnsi="Arial" w:cs="Arial"/>
          <w:color w:val="000000"/>
          <w:sz w:val="24"/>
          <w:szCs w:val="24"/>
        </w:rPr>
        <w:t>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 xml:space="preserve">Rozporządzeniu (UE) nr 833/2014 z dnia 31 lipca 2014 r. dotyczącym środków ograniczających w związku z działaniami Rosji destabilizującymi sytuację na Ukrainie (Dz. Urz. UE L 229 z 31.07.2014, str. 1 z </w:t>
      </w:r>
      <w:proofErr w:type="spellStart"/>
      <w:r w:rsidRPr="003A06B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3A06B4">
        <w:rPr>
          <w:rFonts w:ascii="Arial" w:hAnsi="Arial" w:cs="Arial"/>
          <w:color w:val="000000"/>
          <w:sz w:val="24"/>
          <w:szCs w:val="24"/>
        </w:rPr>
        <w:t>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6BFA531F" w14:textId="16688CC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będąc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jednostką samorządu terytorialnego (lub podmiot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przez nią kontrolowan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lub od niej zależn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) 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niepodj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ęciu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114BB1">
        <w:rPr>
          <w:rFonts w:ascii="Arial" w:hAnsi="Arial" w:cs="Arial"/>
          <w:color w:val="000000"/>
          <w:sz w:val="24"/>
          <w:szCs w:val="24"/>
        </w:rPr>
        <w:t>.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3B518" w14:textId="77777777" w:rsidR="00647193" w:rsidRDefault="00647193" w:rsidP="006200FC">
      <w:pPr>
        <w:spacing w:after="0" w:line="240" w:lineRule="auto"/>
      </w:pPr>
      <w:r>
        <w:separator/>
      </w:r>
    </w:p>
  </w:endnote>
  <w:endnote w:type="continuationSeparator" w:id="0">
    <w:p w14:paraId="601D8851" w14:textId="77777777" w:rsidR="00647193" w:rsidRDefault="00647193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3F69C" w14:textId="77777777" w:rsidR="00647193" w:rsidRDefault="00647193" w:rsidP="006200FC">
      <w:pPr>
        <w:spacing w:after="0" w:line="240" w:lineRule="auto"/>
      </w:pPr>
      <w:r>
        <w:separator/>
      </w:r>
    </w:p>
  </w:footnote>
  <w:footnote w:type="continuationSeparator" w:id="0">
    <w:p w14:paraId="4C07926E" w14:textId="77777777" w:rsidR="00647193" w:rsidRDefault="00647193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E624E9" w:rsidRDefault="0003471F">
      <w:pPr>
        <w:pStyle w:val="Tekstprzypisudolnego"/>
        <w:rPr>
          <w:rFonts w:ascii="Arial" w:hAnsi="Arial" w:cs="Arial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18148837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00FC">
        <w:rPr>
          <w:rFonts w:ascii="Arial" w:hAnsi="Arial" w:cs="Arial"/>
          <w:sz w:val="18"/>
          <w:szCs w:val="18"/>
        </w:rPr>
        <w:t xml:space="preserve"> </w:t>
      </w:r>
      <w:r w:rsidRPr="006200FC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6200FC">
        <w:rPr>
          <w:rFonts w:ascii="Arial" w:hAnsi="Arial" w:cs="Arial"/>
          <w:sz w:val="18"/>
          <w:szCs w:val="18"/>
        </w:rPr>
        <w:t xml:space="preserve">. Pierwszym rachunkiem jest wyodrębniony rachunek płatniczy, tj. rachunek, z którego podmiot realizujący projekt dokonuje wydatków, drugim rachunek transferowy (bieżący), którego właścicielem jest wnioskodawca i na który IZ </w:t>
      </w:r>
      <w:r>
        <w:rPr>
          <w:rFonts w:ascii="Arial" w:hAnsi="Arial" w:cs="Arial"/>
          <w:sz w:val="18"/>
          <w:szCs w:val="18"/>
        </w:rPr>
        <w:t xml:space="preserve">programu </w:t>
      </w:r>
      <w:proofErr w:type="spellStart"/>
      <w:r>
        <w:rPr>
          <w:rFonts w:ascii="Arial" w:hAnsi="Arial" w:cs="Arial"/>
          <w:sz w:val="18"/>
          <w:szCs w:val="18"/>
        </w:rPr>
        <w:t>FEdKP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6200FC">
        <w:rPr>
          <w:rFonts w:ascii="Arial" w:hAnsi="Arial" w:cs="Arial"/>
          <w:sz w:val="18"/>
          <w:szCs w:val="18"/>
        </w:rPr>
        <w:t>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14BB1"/>
    <w:rsid w:val="0012292D"/>
    <w:rsid w:val="00144177"/>
    <w:rsid w:val="001C47CF"/>
    <w:rsid w:val="001D2812"/>
    <w:rsid w:val="002508C0"/>
    <w:rsid w:val="00335EF0"/>
    <w:rsid w:val="00366654"/>
    <w:rsid w:val="003A06B4"/>
    <w:rsid w:val="003B5619"/>
    <w:rsid w:val="003D30E2"/>
    <w:rsid w:val="003D6CFF"/>
    <w:rsid w:val="00421342"/>
    <w:rsid w:val="004B2830"/>
    <w:rsid w:val="004F7244"/>
    <w:rsid w:val="0057091B"/>
    <w:rsid w:val="005F6C0A"/>
    <w:rsid w:val="006200FC"/>
    <w:rsid w:val="0064097B"/>
    <w:rsid w:val="00647193"/>
    <w:rsid w:val="0068748C"/>
    <w:rsid w:val="006E7A8F"/>
    <w:rsid w:val="007E15B1"/>
    <w:rsid w:val="00821BB9"/>
    <w:rsid w:val="00956B35"/>
    <w:rsid w:val="009F5C98"/>
    <w:rsid w:val="00A20872"/>
    <w:rsid w:val="00B47FD7"/>
    <w:rsid w:val="00BA59DB"/>
    <w:rsid w:val="00CD1336"/>
    <w:rsid w:val="00CF085F"/>
    <w:rsid w:val="00D43663"/>
    <w:rsid w:val="00DA538C"/>
    <w:rsid w:val="00DA6F30"/>
    <w:rsid w:val="00E624E9"/>
    <w:rsid w:val="00E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E.KdW</cp:lastModifiedBy>
  <cp:revision>3</cp:revision>
  <cp:lastPrinted>2023-05-19T13:09:00Z</cp:lastPrinted>
  <dcterms:created xsi:type="dcterms:W3CDTF">2023-05-24T11:10:00Z</dcterms:created>
  <dcterms:modified xsi:type="dcterms:W3CDTF">2023-05-24T11:47:00Z</dcterms:modified>
</cp:coreProperties>
</file>